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0B" w:rsidRPr="004B660B" w:rsidRDefault="004B660B" w:rsidP="004B660B">
      <w:pPr>
        <w:spacing w:after="95" w:line="170" w:lineRule="exact"/>
        <w:ind w:left="2320"/>
        <w:rPr>
          <w:rFonts w:ascii="Arial" w:eastAsia="Courier New" w:hAnsi="Arial" w:cs="Arial"/>
          <w:color w:val="000000"/>
          <w:sz w:val="17"/>
          <w:szCs w:val="17"/>
          <w:lang w:val="cs"/>
        </w:rPr>
      </w:pPr>
      <w:r w:rsidRPr="004B660B">
        <w:rPr>
          <w:rFonts w:ascii="Arial" w:eastAsia="Tahoma" w:hAnsi="Arial" w:cs="Arial"/>
          <w:color w:val="000000"/>
          <w:sz w:val="17"/>
          <w:szCs w:val="17"/>
          <w:u w:val="single"/>
          <w:lang w:val="cs"/>
        </w:rPr>
        <w:t>Informace o výplatě dávek důchodového pojištění</w:t>
      </w:r>
    </w:p>
    <w:p w:rsidR="004B660B" w:rsidRPr="004B660B" w:rsidRDefault="004B660B" w:rsidP="004B660B">
      <w:pPr>
        <w:spacing w:after="60" w:line="200" w:lineRule="exact"/>
        <w:ind w:right="40" w:firstLine="709"/>
        <w:jc w:val="both"/>
        <w:rPr>
          <w:rFonts w:ascii="Arial" w:eastAsia="Tahoma" w:hAnsi="Arial" w:cs="Arial"/>
          <w:sz w:val="17"/>
          <w:szCs w:val="17"/>
          <w:lang w:val="cs"/>
        </w:rPr>
      </w:pPr>
      <w:r w:rsidRPr="004B660B">
        <w:rPr>
          <w:rFonts w:ascii="Arial" w:eastAsia="Tahoma" w:hAnsi="Arial" w:cs="Arial"/>
          <w:sz w:val="17"/>
          <w:szCs w:val="17"/>
          <w:lang w:val="cs"/>
        </w:rPr>
        <w:t>Dávky důchodového pojištění se vyplácejí dopředu v pravidelných měsíčních lhůtách určených ČSSZ. Pravidelné měsíční lhůty, tj. dny splatnosti důchodů, určuje ČSSZ na sudé dny od 2. do 24. dne v měsíci. Splátka důchodu náleží vždy na měsíční období, které počíná dnem splatnosti dané splátky a končí dnem předcházejícím dni splatnosti následující splátky. Připadne-li den splatností důchodu na den pracovního klidu, je výplatním dnem následující pracovní den. Připadne-li den splatnosti důchodu na sobotu, je výplatním dnem předcházející pracovní den. Jiné změny výplatních dnů jsou oznamovány ve sdělovacích prostředcích nebo na internetových stránkách ČSSZ (</w:t>
      </w:r>
      <w:hyperlink r:id="rId11" w:history="1">
        <w:r w:rsidRPr="004B660B">
          <w:rPr>
            <w:rFonts w:ascii="Arial" w:eastAsia="Tahoma" w:hAnsi="Arial" w:cs="Arial"/>
            <w:color w:val="000080"/>
            <w:sz w:val="17"/>
            <w:szCs w:val="17"/>
            <w:u w:val="single"/>
            <w:lang w:val="cs"/>
          </w:rPr>
          <w:t>www.cssz.cz</w:t>
        </w:r>
      </w:hyperlink>
      <w:r w:rsidRPr="004B660B">
        <w:rPr>
          <w:rFonts w:ascii="Arial" w:eastAsia="Tahoma" w:hAnsi="Arial" w:cs="Arial"/>
          <w:sz w:val="17"/>
          <w:szCs w:val="17"/>
          <w:lang w:val="cs"/>
        </w:rPr>
        <w:t>). Splátka vyplacená přede dnem její splatnosti náleží jen tehdy, pokud podmínky nároku na důchod v den její splatnosti trvaly.</w:t>
      </w:r>
    </w:p>
    <w:p w:rsidR="004B660B" w:rsidRPr="004B660B" w:rsidRDefault="004B660B" w:rsidP="004B660B">
      <w:pPr>
        <w:spacing w:after="60" w:line="200" w:lineRule="exact"/>
        <w:ind w:right="40" w:firstLine="709"/>
        <w:jc w:val="both"/>
        <w:rPr>
          <w:rFonts w:ascii="Arial" w:eastAsia="Courier New" w:hAnsi="Arial" w:cs="Arial"/>
          <w:b/>
          <w:color w:val="000000"/>
          <w:sz w:val="17"/>
          <w:szCs w:val="17"/>
          <w:lang w:val="cs"/>
        </w:rPr>
      </w:pPr>
      <w:r w:rsidRPr="004B660B">
        <w:rPr>
          <w:rFonts w:ascii="Arial" w:eastAsia="Courier New" w:hAnsi="Arial" w:cs="Arial"/>
          <w:b/>
          <w:color w:val="000000"/>
          <w:sz w:val="17"/>
          <w:szCs w:val="17"/>
          <w:lang w:val="cs"/>
        </w:rPr>
        <w:t>Příjemcem důchodu je buď samotný důchodce, tj. oprávněný (v případě nezletilých osob jejich zákonný zástupce}, nebo soudem ustanovený opatrovník anebo zvláštní příjemce ustanovený rozhodnutím obecního úřadu. Příjemcem důchodu je dále osoba, která oprávněného zastupuje podle § 49 a 50 zákona č. 89/2012 Sb.</w:t>
      </w:r>
      <w:r w:rsidRPr="00AF49E3">
        <w:rPr>
          <w:rFonts w:ascii="Arial" w:eastAsia="Tahoma" w:hAnsi="Arial" w:cs="Arial"/>
          <w:b/>
          <w:bCs/>
          <w:color w:val="000000"/>
          <w:sz w:val="17"/>
          <w:szCs w:val="17"/>
          <w:lang w:val="cs"/>
        </w:rPr>
        <w:t xml:space="preserve"> Výplata důchodu jiné osobě než některému z uvedených příjemců je nepřípustná.</w:t>
      </w:r>
      <w:r w:rsidRPr="004B660B">
        <w:rPr>
          <w:rFonts w:ascii="Arial" w:eastAsia="Courier New" w:hAnsi="Arial" w:cs="Arial"/>
          <w:b/>
          <w:color w:val="000000"/>
          <w:sz w:val="17"/>
          <w:szCs w:val="17"/>
          <w:lang w:val="cs"/>
        </w:rPr>
        <w:t xml:space="preserve"> Nepožádá-li příjemce důchodu o jiný způsob výplaty, je výplata důchodu zařízena vždy v hotovosti do místa trvalého pobytu. Příjemce důchodu je povinen neprodleně, nejpozději do 8 dnů, oznámit ČSSZ a poště změnu adresy trvalého pobytu.</w:t>
      </w:r>
    </w:p>
    <w:p w:rsidR="004B660B" w:rsidRPr="004B660B" w:rsidRDefault="004B660B" w:rsidP="004B660B">
      <w:pPr>
        <w:spacing w:after="60" w:line="200" w:lineRule="exact"/>
        <w:ind w:right="40" w:firstLine="709"/>
        <w:jc w:val="both"/>
        <w:rPr>
          <w:rFonts w:ascii="Arial" w:eastAsia="Tahoma" w:hAnsi="Arial" w:cs="Arial"/>
          <w:sz w:val="17"/>
          <w:szCs w:val="17"/>
          <w:lang w:val="cs"/>
        </w:rPr>
      </w:pPr>
      <w:r w:rsidRPr="004B660B">
        <w:rPr>
          <w:rFonts w:ascii="Arial" w:eastAsia="Tahoma" w:hAnsi="Arial" w:cs="Arial"/>
          <w:b/>
          <w:bCs/>
          <w:sz w:val="17"/>
          <w:szCs w:val="17"/>
          <w:shd w:val="clear" w:color="auto" w:fill="FFFFFF"/>
          <w:lang w:val="cs"/>
        </w:rPr>
        <w:t>Výplata důchodu poukazem na účet může být zařízena jen na základě písemné žádosti příjemce důchodu. Splatnost důchodů je shodná se splatností důchodů vyplácených v hotovosti poštou.</w:t>
      </w:r>
      <w:r w:rsidRPr="004B660B">
        <w:rPr>
          <w:rFonts w:ascii="Arial" w:eastAsia="Tahoma" w:hAnsi="Arial" w:cs="Arial"/>
          <w:sz w:val="17"/>
          <w:szCs w:val="17"/>
          <w:lang w:val="cs"/>
        </w:rPr>
        <w:t xml:space="preserve"> Příjemce důchodu musí být majitelem účtu, na který má být výplata důchodu poukazována. Je-li příjemcem důchodu sám oprávněný, může být výplata jeho důchodu zařízena na účet, jehož majitelem je jeho manžel nebo manželka. Výplata důchodu na účty jiných fyzických nebo právnických osob je nepřípustná. Tiskopisy žádostí, jejichž součástí jsou informace týkající se vyplnění, potvrzení a způsobu podávání těchto žádostí, jsou k dispozici na OSSZ, PSSZ, MSSZ Brno a na internetových stránkách ČSSZ (</w:t>
      </w:r>
      <w:hyperlink r:id="rId12" w:history="1">
        <w:r w:rsidRPr="004B660B">
          <w:rPr>
            <w:rFonts w:ascii="Arial" w:eastAsia="Tahoma" w:hAnsi="Arial" w:cs="Arial"/>
            <w:color w:val="000080"/>
            <w:sz w:val="17"/>
            <w:szCs w:val="17"/>
            <w:u w:val="single"/>
            <w:lang w:val="cs"/>
          </w:rPr>
          <w:t>www.cssz.cz</w:t>
        </w:r>
      </w:hyperlink>
      <w:r w:rsidRPr="004B660B">
        <w:rPr>
          <w:rFonts w:ascii="Arial" w:eastAsia="Tahoma" w:hAnsi="Arial" w:cs="Arial"/>
          <w:sz w:val="17"/>
          <w:szCs w:val="17"/>
          <w:lang w:val="cs"/>
        </w:rPr>
        <w:t>, sekce Tiskopisy).</w:t>
      </w:r>
      <w:r w:rsidRPr="004B660B">
        <w:rPr>
          <w:rFonts w:ascii="Arial" w:eastAsia="Tahoma" w:hAnsi="Arial" w:cs="Arial"/>
          <w:b/>
          <w:bCs/>
          <w:sz w:val="17"/>
          <w:szCs w:val="17"/>
          <w:shd w:val="clear" w:color="auto" w:fill="FFFFFF"/>
          <w:lang w:val="cs"/>
        </w:rPr>
        <w:t xml:space="preserve"> Změnu adresy trvalého pobytu je příjemce důchodu povinen ohlásit neprodleně, nejpozději do 8 dnů, ČSSZ.</w:t>
      </w:r>
    </w:p>
    <w:p w:rsidR="004B660B" w:rsidRPr="004B660B" w:rsidRDefault="004B660B" w:rsidP="004B660B">
      <w:pPr>
        <w:spacing w:after="60" w:line="200" w:lineRule="exact"/>
        <w:ind w:right="40" w:firstLine="709"/>
        <w:jc w:val="both"/>
        <w:rPr>
          <w:rFonts w:ascii="Arial" w:eastAsia="Courier New" w:hAnsi="Arial" w:cs="Arial"/>
          <w:color w:val="000000"/>
          <w:sz w:val="17"/>
          <w:szCs w:val="17"/>
          <w:lang w:val="cs"/>
        </w:rPr>
      </w:pPr>
      <w:r w:rsidRPr="004B660B">
        <w:rPr>
          <w:rFonts w:ascii="Arial" w:eastAsia="Courier New" w:hAnsi="Arial" w:cs="Arial"/>
          <w:b/>
          <w:color w:val="000000"/>
          <w:sz w:val="17"/>
          <w:szCs w:val="17"/>
          <w:lang w:val="cs"/>
        </w:rPr>
        <w:t>Je-li oprávněný umístěn v zařízení sociálních služeb, může být výplata jeho důchodu poukazována k jednotnému výplatnímu termínu (15. den v měsíci) k jeho rukám na adresu tohoto zařízení.</w:t>
      </w:r>
      <w:r w:rsidRPr="00AF49E3">
        <w:rPr>
          <w:rFonts w:ascii="Arial" w:eastAsia="Tahoma" w:hAnsi="Arial" w:cs="Arial"/>
          <w:bCs/>
          <w:color w:val="000000"/>
          <w:sz w:val="17"/>
          <w:szCs w:val="17"/>
          <w:lang w:val="cs"/>
        </w:rPr>
        <w:t xml:space="preserve"> Podmínkou je souhlas oprávněného nebo jeho opatrovníka s tímto způsobem výplaty.</w:t>
      </w:r>
    </w:p>
    <w:p w:rsidR="004B660B" w:rsidRPr="004B660B" w:rsidRDefault="004B660B" w:rsidP="004B660B">
      <w:pPr>
        <w:spacing w:after="60" w:line="200" w:lineRule="exact"/>
        <w:ind w:firstLine="709"/>
        <w:rPr>
          <w:rFonts w:ascii="Arial" w:eastAsia="Courier New" w:hAnsi="Arial" w:cs="Arial"/>
          <w:color w:val="000000"/>
          <w:sz w:val="17"/>
          <w:szCs w:val="17"/>
          <w:lang w:val="cs"/>
        </w:rPr>
      </w:pPr>
      <w:r w:rsidRPr="004B660B">
        <w:rPr>
          <w:rFonts w:ascii="Arial" w:eastAsia="Tahoma" w:hAnsi="Arial" w:cs="Arial"/>
          <w:color w:val="000000"/>
          <w:sz w:val="17"/>
          <w:szCs w:val="17"/>
          <w:u w:val="single"/>
          <w:lang w:val="cs"/>
        </w:rPr>
        <w:t>Povinnosti občanů v důchodovém pojištění</w:t>
      </w:r>
    </w:p>
    <w:p w:rsidR="004B660B" w:rsidRPr="004B660B" w:rsidRDefault="004B660B" w:rsidP="004B660B">
      <w:pPr>
        <w:spacing w:after="60" w:line="200" w:lineRule="exact"/>
        <w:ind w:right="40" w:firstLine="709"/>
        <w:jc w:val="both"/>
        <w:rPr>
          <w:rFonts w:ascii="Arial" w:eastAsia="Tahoma" w:hAnsi="Arial" w:cs="Arial"/>
          <w:sz w:val="17"/>
          <w:szCs w:val="17"/>
          <w:lang w:val="cs"/>
        </w:rPr>
      </w:pPr>
      <w:r w:rsidRPr="004B660B">
        <w:rPr>
          <w:rFonts w:ascii="Arial" w:eastAsia="Tahoma" w:hAnsi="Arial" w:cs="Arial"/>
          <w:b/>
          <w:bCs/>
          <w:sz w:val="17"/>
          <w:szCs w:val="17"/>
          <w:shd w:val="clear" w:color="auto" w:fill="FFFFFF"/>
          <w:lang w:val="cs"/>
        </w:rPr>
        <w:t>Oprávněný nebo jiný příjemce dávky důchodového pojištění je povinen písemně ohlásit ČSSZ do 8 dnů skutečnosti rozhodné pro trvání nároku na dávku, její výši a výplatu.</w:t>
      </w:r>
      <w:r w:rsidRPr="004B660B">
        <w:rPr>
          <w:rFonts w:ascii="Arial" w:eastAsia="Tahoma" w:hAnsi="Arial" w:cs="Arial"/>
          <w:sz w:val="17"/>
          <w:szCs w:val="17"/>
          <w:lang w:val="cs"/>
        </w:rPr>
        <w:t xml:space="preserve"> Dojde-li v důsledku nesplnění této ohlašovací povinnosti k neoprávněné výplatě důchodu nebo k výplatě důchodu ve vyšší částce než náleží, má ČSSZ vůči příjemci důchodu nárok na vrácení neprávem vyplacené částky.</w:t>
      </w:r>
    </w:p>
    <w:p w:rsidR="004B660B" w:rsidRPr="004B660B" w:rsidRDefault="004B660B" w:rsidP="004B660B">
      <w:pPr>
        <w:spacing w:after="60" w:line="200" w:lineRule="exact"/>
        <w:ind w:right="40" w:firstLine="709"/>
        <w:jc w:val="both"/>
        <w:rPr>
          <w:rFonts w:ascii="Arial" w:eastAsia="Tahoma" w:hAnsi="Arial" w:cs="Arial"/>
          <w:sz w:val="17"/>
          <w:szCs w:val="17"/>
          <w:lang w:val="cs"/>
        </w:rPr>
      </w:pPr>
      <w:r w:rsidRPr="004B660B">
        <w:rPr>
          <w:rFonts w:ascii="Arial" w:eastAsia="Tahoma" w:hAnsi="Arial" w:cs="Arial"/>
          <w:sz w:val="17"/>
          <w:szCs w:val="17"/>
          <w:lang w:val="cs"/>
        </w:rPr>
        <w:t>V podáních adresovaných ČSSZ je oprávněný povinen uvádět své rodné číslo, popřípadě rodné číslo žijícího rodiče, jde-li o sirotčí důchod jednostranně osiřelého dítěte, nebo rodné číslo posledně zemřelého rodiče, jde-</w:t>
      </w:r>
      <w:proofErr w:type="spellStart"/>
      <w:r w:rsidRPr="004B660B">
        <w:rPr>
          <w:rFonts w:ascii="Arial" w:eastAsia="Tahoma" w:hAnsi="Arial" w:cs="Arial"/>
          <w:sz w:val="17"/>
          <w:szCs w:val="17"/>
          <w:lang w:val="cs"/>
        </w:rPr>
        <w:t>ii</w:t>
      </w:r>
      <w:proofErr w:type="spellEnd"/>
      <w:r w:rsidRPr="004B660B">
        <w:rPr>
          <w:rFonts w:ascii="Arial" w:eastAsia="Tahoma" w:hAnsi="Arial" w:cs="Arial"/>
          <w:sz w:val="17"/>
          <w:szCs w:val="17"/>
          <w:lang w:val="cs"/>
        </w:rPr>
        <w:t xml:space="preserve"> o sirotčí důchod oboustranně osiřelého dítěte.</w:t>
      </w:r>
      <w:r w:rsidRPr="004B660B">
        <w:rPr>
          <w:rFonts w:ascii="Arial" w:eastAsia="Tahoma" w:hAnsi="Arial" w:cs="Arial"/>
          <w:b/>
          <w:bCs/>
          <w:sz w:val="17"/>
          <w:szCs w:val="17"/>
          <w:shd w:val="clear" w:color="auto" w:fill="FFFFFF"/>
          <w:lang w:val="cs"/>
        </w:rPr>
        <w:t xml:space="preserve"> Zákonný zástupce, opatrovník a zvláštní příjemce uvádějí rodné číslo, které by byl povinen uvádět oprávněný, jehož zastupují.</w:t>
      </w: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p>
    <w:p w:rsidR="004B660B" w:rsidRPr="004B660B" w:rsidRDefault="004B660B" w:rsidP="004B660B">
      <w:pPr>
        <w:spacing w:after="60" w:line="200" w:lineRule="exact"/>
        <w:rPr>
          <w:rFonts w:ascii="Arial" w:eastAsia="Courier New" w:hAnsi="Arial" w:cs="Arial"/>
          <w:color w:val="000000"/>
          <w:sz w:val="17"/>
          <w:szCs w:val="17"/>
          <w:lang w:val="cs"/>
        </w:rPr>
      </w:pPr>
      <w:r w:rsidRPr="004B660B">
        <w:rPr>
          <w:rFonts w:ascii="Arial" w:eastAsia="Courier New" w:hAnsi="Arial" w:cs="Arial"/>
          <w:color w:val="000000"/>
          <w:sz w:val="17"/>
          <w:szCs w:val="17"/>
          <w:lang w:val="cs"/>
        </w:rPr>
        <w:t>ČSSZ 3010_S,SRN,5T</w:t>
      </w:r>
    </w:p>
    <w:p w:rsidR="004A16E0" w:rsidRPr="004A16E0" w:rsidRDefault="004A16E0" w:rsidP="00BF116A">
      <w:pPr>
        <w:rPr>
          <w:rStyle w:val="pokyny"/>
          <w:rFonts w:ascii="Arial" w:hAnsi="Arial" w:cs="Arial"/>
          <w:color w:val="auto"/>
        </w:rPr>
        <w:sectPr w:rsidR="004A16E0" w:rsidRPr="004A16E0" w:rsidSect="003A2BE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907" w:footer="709" w:gutter="0"/>
          <w:cols w:space="708"/>
          <w:docGrid w:linePitch="360"/>
        </w:sectPr>
      </w:pPr>
    </w:p>
    <w:p w:rsidR="0063759E" w:rsidRPr="0063759E" w:rsidRDefault="0063759E" w:rsidP="0063759E">
      <w:pPr>
        <w:keepNext/>
        <w:spacing w:before="200" w:after="120" w:line="252" w:lineRule="auto"/>
        <w:contextualSpacing/>
        <w:outlineLvl w:val="1"/>
        <w:rPr>
          <w:b/>
          <w:sz w:val="26"/>
        </w:rPr>
      </w:pPr>
      <w:r w:rsidRPr="0063759E">
        <w:rPr>
          <w:b/>
          <w:sz w:val="26"/>
        </w:rPr>
        <w:lastRenderedPageBreak/>
        <w:t>Informace ČSSZ („my“) o výplatě důchodů</w:t>
      </w:r>
    </w:p>
    <w:p w:rsidR="0063759E" w:rsidRPr="0063759E" w:rsidRDefault="0063759E" w:rsidP="0063759E">
      <w:pPr>
        <w:spacing w:before="120" w:after="120" w:line="252" w:lineRule="auto"/>
      </w:pPr>
      <w:r w:rsidRPr="0063759E">
        <w:rPr>
          <w:b/>
          <w:bCs/>
        </w:rPr>
        <w:t xml:space="preserve">Důchody se vyplácejí dopředu každý měsíc. </w:t>
      </w:r>
      <w:r w:rsidRPr="0063759E">
        <w:t>Dny splatnosti důchodů určujeme na sudé dny od 2. do 24. dne v měsíci. Splátka důchodu náleží vždy na měsíční období, které počíná dnem splatnosti dané splátky a končí dnem před splatností následující splátky. Pokud je důchod splatný v den pracovního klidu, vyplatíme ho následující pracovní den. Pokud je splatný v sobotu, vyplatíme ho předcházející pracovní den. Jiné změny výplatních dnů oznamujeme ve sdělovacích prostředcích nebo na internetových stránkách (</w:t>
      </w:r>
      <w:hyperlink r:id="rId19" w:history="1">
        <w:r w:rsidRPr="0063759E">
          <w:rPr>
            <w:u w:val="single"/>
          </w:rPr>
          <w:t>www.cssz.cz</w:t>
        </w:r>
      </w:hyperlink>
      <w:r w:rsidRPr="0063759E">
        <w:t xml:space="preserve">). Splátka vyplacená přede dnem její splatnosti Vám náleží jen tehdy, pokud podmínky nároku na důchod v den splatnosti trvaly. </w:t>
      </w:r>
    </w:p>
    <w:p w:rsidR="0063759E" w:rsidRPr="0063759E" w:rsidRDefault="0063759E" w:rsidP="0063759E">
      <w:pPr>
        <w:spacing w:before="120" w:after="60" w:line="252" w:lineRule="auto"/>
        <w:rPr>
          <w:b/>
          <w:bCs/>
        </w:rPr>
      </w:pPr>
      <w:r w:rsidRPr="0063759E">
        <w:rPr>
          <w:b/>
          <w:bCs/>
        </w:rPr>
        <w:t>Příjemcem důchodu je</w:t>
      </w:r>
    </w:p>
    <w:p w:rsidR="0063759E" w:rsidRPr="0063759E" w:rsidRDefault="0063759E" w:rsidP="0063759E">
      <w:pPr>
        <w:numPr>
          <w:ilvl w:val="0"/>
          <w:numId w:val="16"/>
        </w:numPr>
        <w:spacing w:before="40" w:after="40" w:line="252" w:lineRule="auto"/>
        <w:ind w:left="284" w:hanging="284"/>
        <w:rPr>
          <w:rFonts w:eastAsia="Calibri"/>
          <w:szCs w:val="22"/>
          <w:lang w:eastAsia="en-US"/>
        </w:rPr>
      </w:pPr>
      <w:r w:rsidRPr="0063759E">
        <w:rPr>
          <w:rFonts w:eastAsia="Calibri"/>
          <w:i/>
          <w:iCs/>
          <w:szCs w:val="22"/>
          <w:lang w:eastAsia="en-US"/>
        </w:rPr>
        <w:t>oprávněný</w:t>
      </w:r>
      <w:r w:rsidRPr="0063759E">
        <w:rPr>
          <w:rFonts w:eastAsia="Calibri"/>
          <w:szCs w:val="22"/>
          <w:lang w:eastAsia="en-US"/>
        </w:rPr>
        <w:t>, tedy samotný důchodce (u nezletilých dětí jejich zákonný zástupce), nebo</w:t>
      </w:r>
    </w:p>
    <w:p w:rsidR="0063759E" w:rsidRPr="0063759E" w:rsidRDefault="0063759E" w:rsidP="0063759E">
      <w:pPr>
        <w:numPr>
          <w:ilvl w:val="0"/>
          <w:numId w:val="16"/>
        </w:numPr>
        <w:spacing w:before="40" w:after="40" w:line="252" w:lineRule="auto"/>
        <w:ind w:left="284" w:hanging="284"/>
        <w:rPr>
          <w:rFonts w:eastAsia="Calibri"/>
          <w:szCs w:val="22"/>
          <w:lang w:eastAsia="en-US"/>
        </w:rPr>
      </w:pPr>
      <w:r w:rsidRPr="0063759E">
        <w:rPr>
          <w:rFonts w:eastAsia="Calibri"/>
          <w:szCs w:val="22"/>
          <w:lang w:eastAsia="en-US"/>
        </w:rPr>
        <w:t>jiný příjemce důchodu:</w:t>
      </w:r>
    </w:p>
    <w:p w:rsidR="0063759E" w:rsidRPr="0063759E" w:rsidRDefault="0063759E" w:rsidP="0063759E">
      <w:pPr>
        <w:numPr>
          <w:ilvl w:val="0"/>
          <w:numId w:val="31"/>
        </w:numPr>
        <w:spacing w:before="20" w:after="20" w:line="252" w:lineRule="auto"/>
        <w:ind w:left="568" w:hanging="284"/>
        <w:rPr>
          <w:rFonts w:eastAsia="Calibri"/>
          <w:szCs w:val="22"/>
          <w:lang w:eastAsia="en-US"/>
        </w:rPr>
      </w:pPr>
      <w:r w:rsidRPr="0063759E">
        <w:rPr>
          <w:rFonts w:eastAsia="Calibri"/>
          <w:szCs w:val="22"/>
          <w:lang w:eastAsia="en-US"/>
        </w:rPr>
        <w:t>soudem ustanovený opatrovník,</w:t>
      </w:r>
    </w:p>
    <w:p w:rsidR="0063759E" w:rsidRPr="0063759E" w:rsidRDefault="0063759E" w:rsidP="0063759E">
      <w:pPr>
        <w:numPr>
          <w:ilvl w:val="0"/>
          <w:numId w:val="31"/>
        </w:numPr>
        <w:spacing w:before="20" w:after="20" w:line="252" w:lineRule="auto"/>
        <w:ind w:left="568" w:hanging="284"/>
        <w:rPr>
          <w:rFonts w:eastAsia="Calibri"/>
          <w:szCs w:val="22"/>
          <w:lang w:eastAsia="en-US"/>
        </w:rPr>
      </w:pPr>
      <w:r w:rsidRPr="0063759E">
        <w:rPr>
          <w:rFonts w:eastAsia="Calibri"/>
          <w:szCs w:val="22"/>
          <w:lang w:eastAsia="en-US"/>
        </w:rPr>
        <w:t>zvláštní příjemce ustanovený rozhodnutím obecního úřadu nebo</w:t>
      </w:r>
    </w:p>
    <w:p w:rsidR="0063759E" w:rsidRPr="0063759E" w:rsidRDefault="0063759E" w:rsidP="0063759E">
      <w:pPr>
        <w:numPr>
          <w:ilvl w:val="0"/>
          <w:numId w:val="31"/>
        </w:numPr>
        <w:spacing w:before="20" w:after="20" w:line="252" w:lineRule="auto"/>
        <w:ind w:left="568" w:hanging="284"/>
        <w:rPr>
          <w:rFonts w:eastAsia="Calibri"/>
          <w:szCs w:val="22"/>
          <w:lang w:eastAsia="en-US"/>
        </w:rPr>
      </w:pPr>
      <w:r w:rsidRPr="0063759E">
        <w:rPr>
          <w:rFonts w:eastAsia="Calibri"/>
          <w:szCs w:val="22"/>
          <w:lang w:eastAsia="en-US"/>
        </w:rPr>
        <w:t>zástupce člena domácnosti podle § 49 a 50 občanského zákoníku.</w:t>
      </w:r>
    </w:p>
    <w:p w:rsidR="0063759E" w:rsidRPr="0063759E" w:rsidRDefault="0063759E" w:rsidP="0063759E">
      <w:pPr>
        <w:spacing w:before="120" w:after="120" w:line="252" w:lineRule="auto"/>
        <w:rPr>
          <w:b/>
          <w:bCs/>
        </w:rPr>
      </w:pPr>
      <w:r w:rsidRPr="0063759E">
        <w:rPr>
          <w:b/>
          <w:bCs/>
        </w:rPr>
        <w:t>Výplata důchodu jiné osobě není možná.</w:t>
      </w:r>
    </w:p>
    <w:p w:rsidR="0063759E" w:rsidRPr="0063759E" w:rsidRDefault="0063759E" w:rsidP="0063759E">
      <w:pPr>
        <w:spacing w:before="120" w:after="120" w:line="252" w:lineRule="auto"/>
      </w:pPr>
      <w:r w:rsidRPr="0063759E">
        <w:rPr>
          <w:b/>
          <w:bCs/>
        </w:rPr>
        <w:t>Pokud příjemce důchodu nepožádá o jiný způsob výplaty</w:t>
      </w:r>
      <w:r w:rsidRPr="0063759E">
        <w:t>, vyplatíme mu důchod v hotovosti na adresu trvalého pobytu. Náklady hradí příjemce (odečteme je z důchodu). Příjemce důchodu musí nám a poště neprodleně (nejpozději do 8 dnů) oznámit změnu adresy trvalého pobytu.</w:t>
      </w:r>
    </w:p>
    <w:p w:rsidR="0063759E" w:rsidRPr="0063759E" w:rsidRDefault="0063759E" w:rsidP="0063759E">
      <w:pPr>
        <w:spacing w:before="120" w:after="120" w:line="252" w:lineRule="auto"/>
      </w:pPr>
      <w:r w:rsidRPr="0063759E">
        <w:rPr>
          <w:b/>
          <w:bCs/>
        </w:rPr>
        <w:t>Důchod vyplatíme poukazem na účet</w:t>
      </w:r>
      <w:r w:rsidRPr="0063759E">
        <w:t xml:space="preserve">, pokud o to příjemce důchodu písemně požádá. Splatnost důchodu se nemění. Příjemce důchodu musí být majitelem účtu, na který máme důchod posílat. Pokud je příjemcem důchodu </w:t>
      </w:r>
      <w:r w:rsidRPr="0063759E">
        <w:rPr>
          <w:i/>
          <w:iCs/>
        </w:rPr>
        <w:t>oprávněný</w:t>
      </w:r>
      <w:r w:rsidRPr="0063759E">
        <w:t>, můžeme důchod vyplácet na účet jeho manžela nebo manželky. Výplata důchodu na účty jiných osob není možná.</w:t>
      </w:r>
    </w:p>
    <w:p w:rsidR="0063759E" w:rsidRPr="0063759E" w:rsidRDefault="0063759E" w:rsidP="0063759E">
      <w:pPr>
        <w:spacing w:before="120" w:after="120" w:line="252" w:lineRule="auto"/>
      </w:pPr>
      <w:r w:rsidRPr="0063759E">
        <w:rPr>
          <w:b/>
          <w:bCs/>
        </w:rPr>
        <w:t xml:space="preserve">Pokud je oprávněný v zařízení sociálních služeb </w:t>
      </w:r>
      <w:r w:rsidRPr="0063759E">
        <w:t>(</w:t>
      </w:r>
      <w:r w:rsidRPr="0063759E">
        <w:rPr>
          <w:i/>
          <w:iCs/>
        </w:rPr>
        <w:t>např. domov pro seniory</w:t>
      </w:r>
      <w:r w:rsidRPr="0063759E">
        <w:t>), můžeme jeho důchod poukazovat k jednotnému výplatnímu termínu (15. den v měsíci) k jeho rukám na adresu tohoto zařízení, pokud s tím bude oprávněný nebo jeho opatrovník souhlasit.</w:t>
      </w:r>
    </w:p>
    <w:p w:rsidR="0063759E" w:rsidRPr="0063759E" w:rsidRDefault="0063759E" w:rsidP="0063759E">
      <w:pPr>
        <w:spacing w:before="120" w:after="120" w:line="252" w:lineRule="auto"/>
      </w:pPr>
      <w:r w:rsidRPr="0063759E">
        <w:rPr>
          <w:b/>
          <w:bCs/>
        </w:rPr>
        <w:t>Tiskopisy</w:t>
      </w:r>
      <w:r w:rsidRPr="0063759E">
        <w:t xml:space="preserve"> některých podání [</w:t>
      </w:r>
      <w:r w:rsidRPr="0063759E">
        <w:rPr>
          <w:i/>
          <w:iCs/>
        </w:rPr>
        <w:t>např. žádost o zařízení výplaty důchodu poukazem na účet v ČR; žádosti o zařízení výplaty důchodu poukazem na účet manžela (manželky) v ČR; hlášení změny adresy nebo jména a příjmení</w:t>
      </w:r>
      <w:r w:rsidRPr="0063759E">
        <w:t>] a informace k jejich vyplnění, potvrzení a způsobu podávání najdete na OSSZ, PSSZ, MSSZ Brno a na našich internetových stránkách (</w:t>
      </w:r>
      <w:hyperlink r:id="rId20" w:history="1">
        <w:r w:rsidRPr="0063759E">
          <w:rPr>
            <w:u w:val="single"/>
          </w:rPr>
          <w:t>www.cssz.cz</w:t>
        </w:r>
      </w:hyperlink>
      <w:r w:rsidRPr="0063759E">
        <w:t>, Tiskopisy).</w:t>
      </w:r>
    </w:p>
    <w:p w:rsidR="0063759E" w:rsidRPr="0063759E" w:rsidRDefault="0063759E" w:rsidP="0063759E">
      <w:pPr>
        <w:spacing w:before="120" w:after="120" w:line="252" w:lineRule="auto"/>
      </w:pPr>
      <w:r w:rsidRPr="0063759E">
        <w:rPr>
          <w:b/>
          <w:bCs/>
        </w:rPr>
        <w:t>Změnu adresy trvalého pobytu</w:t>
      </w:r>
      <w:r w:rsidRPr="0063759E">
        <w:t xml:space="preserve"> nám musí příjemce důchodu </w:t>
      </w:r>
      <w:r w:rsidRPr="0063759E">
        <w:rPr>
          <w:b/>
          <w:bCs/>
        </w:rPr>
        <w:t>ohlásit neprodleně</w:t>
      </w:r>
      <w:r w:rsidRPr="0063759E">
        <w:t>, nejpozději do 8 dnů.</w:t>
      </w:r>
    </w:p>
    <w:p w:rsidR="0063759E" w:rsidRPr="0063759E" w:rsidRDefault="0063759E" w:rsidP="0063759E">
      <w:pPr>
        <w:keepNext/>
        <w:spacing w:before="120" w:after="20" w:line="252" w:lineRule="auto"/>
        <w:contextualSpacing/>
        <w:outlineLvl w:val="1"/>
        <w:rPr>
          <w:b/>
          <w:sz w:val="26"/>
        </w:rPr>
      </w:pPr>
      <w:r w:rsidRPr="0063759E">
        <w:rPr>
          <w:b/>
          <w:sz w:val="26"/>
        </w:rPr>
        <w:t>Povinnosti občanů v důchodovém pojištění</w:t>
      </w:r>
    </w:p>
    <w:p w:rsidR="0063759E" w:rsidRPr="0063759E" w:rsidRDefault="0063759E" w:rsidP="0063759E">
      <w:pPr>
        <w:spacing w:before="120" w:after="120" w:line="252" w:lineRule="auto"/>
        <w:rPr>
          <w:i/>
          <w:iCs/>
        </w:rPr>
      </w:pPr>
      <w:r w:rsidRPr="0063759E">
        <w:t xml:space="preserve">Oprávněný nebo jiný příjemce důchodu nám musí </w:t>
      </w:r>
      <w:r w:rsidRPr="0063759E">
        <w:rPr>
          <w:b/>
          <w:bCs/>
        </w:rPr>
        <w:t>do 8 dnů písemně ohlásit skutečnosti rozhodné pro trvání nároku na důchod, jeho výši a výplatu</w:t>
      </w:r>
      <w:r w:rsidRPr="0063759E">
        <w:t xml:space="preserve">. </w:t>
      </w:r>
      <w:r w:rsidRPr="0063759E">
        <w:rPr>
          <w:i/>
          <w:iCs/>
        </w:rPr>
        <w:t>Například, když</w:t>
      </w:r>
    </w:p>
    <w:p w:rsidR="0063759E" w:rsidRPr="0063759E" w:rsidRDefault="0063759E" w:rsidP="0063759E">
      <w:pPr>
        <w:numPr>
          <w:ilvl w:val="0"/>
          <w:numId w:val="16"/>
        </w:numPr>
        <w:spacing w:before="40" w:after="40" w:line="252" w:lineRule="auto"/>
        <w:ind w:left="284" w:hanging="284"/>
        <w:rPr>
          <w:rFonts w:eastAsia="Calibri"/>
          <w:i/>
          <w:iCs/>
          <w:szCs w:val="22"/>
          <w:lang w:eastAsia="en-US"/>
        </w:rPr>
      </w:pPr>
      <w:r w:rsidRPr="0063759E">
        <w:rPr>
          <w:rFonts w:eastAsia="Calibri"/>
          <w:i/>
          <w:iCs/>
          <w:szCs w:val="22"/>
          <w:lang w:eastAsia="en-US"/>
        </w:rPr>
        <w:t>máte sirotčí důchod, musíte hlásit, že jste přestali studovat na střední nebo vysoké škole,</w:t>
      </w:r>
    </w:p>
    <w:p w:rsidR="0063759E" w:rsidRPr="0063759E" w:rsidRDefault="0063759E" w:rsidP="0063759E">
      <w:pPr>
        <w:numPr>
          <w:ilvl w:val="0"/>
          <w:numId w:val="16"/>
        </w:numPr>
        <w:spacing w:before="40" w:after="40" w:line="252" w:lineRule="auto"/>
        <w:ind w:left="284" w:hanging="284"/>
        <w:rPr>
          <w:rFonts w:eastAsia="Calibri"/>
          <w:i/>
          <w:iCs/>
          <w:szCs w:val="22"/>
          <w:lang w:eastAsia="en-US"/>
        </w:rPr>
      </w:pPr>
      <w:r w:rsidRPr="0063759E">
        <w:rPr>
          <w:rFonts w:eastAsia="Calibri"/>
          <w:i/>
          <w:iCs/>
          <w:szCs w:val="22"/>
          <w:lang w:eastAsia="en-US"/>
        </w:rPr>
        <w:t>máte sirotčí důchod a studujete dálkově, distančně, večerně nebo kombinovaně, musíte nahlásit, že jste začali vydělávat v rozsahu zakládajícím účast na důchodovém pojištění,</w:t>
      </w:r>
    </w:p>
    <w:p w:rsidR="0063759E" w:rsidRPr="0063759E" w:rsidRDefault="0063759E" w:rsidP="0063759E">
      <w:pPr>
        <w:numPr>
          <w:ilvl w:val="0"/>
          <w:numId w:val="16"/>
        </w:numPr>
        <w:spacing w:before="40" w:after="40" w:line="252" w:lineRule="auto"/>
        <w:ind w:left="284" w:hanging="284"/>
        <w:rPr>
          <w:rFonts w:eastAsia="Calibri"/>
          <w:i/>
          <w:iCs/>
          <w:szCs w:val="22"/>
          <w:lang w:eastAsia="en-US"/>
        </w:rPr>
      </w:pPr>
      <w:r w:rsidRPr="0063759E">
        <w:rPr>
          <w:rFonts w:eastAsia="Calibri"/>
          <w:i/>
          <w:iCs/>
          <w:szCs w:val="22"/>
          <w:lang w:eastAsia="en-US"/>
        </w:rPr>
        <w:t>máte vdovský/vdovecký důchod, protože pečujete o nezaopatřené dítě, musíte hlásit, že dítě přestalo studovat, nebo že dítě, které studujete dálkově, distančně, večerně nebo kombinovaně, začalo vydělávat v rozsahu zakládajícím účast na důchodovém pojištění,</w:t>
      </w:r>
    </w:p>
    <w:p w:rsidR="0063759E" w:rsidRPr="0063759E" w:rsidRDefault="0063759E" w:rsidP="0063759E">
      <w:pPr>
        <w:numPr>
          <w:ilvl w:val="0"/>
          <w:numId w:val="16"/>
        </w:numPr>
        <w:spacing w:before="40" w:after="40" w:line="252" w:lineRule="auto"/>
        <w:ind w:left="284" w:hanging="284"/>
        <w:rPr>
          <w:rFonts w:eastAsia="Calibri"/>
          <w:i/>
          <w:iCs/>
          <w:szCs w:val="22"/>
          <w:lang w:eastAsia="en-US"/>
        </w:rPr>
      </w:pPr>
      <w:r w:rsidRPr="0063759E">
        <w:rPr>
          <w:rFonts w:eastAsia="Calibri"/>
          <w:i/>
          <w:iCs/>
          <w:szCs w:val="22"/>
          <w:lang w:eastAsia="en-US"/>
        </w:rPr>
        <w:t xml:space="preserve">máte vdovský/vdovecký důchod, musíte nahlásit, že jste uzavřeli nové manželství nebo že jste přestali pečovat o nezaopatřené dítě, nebo o dítě závislé na péči jiné osoby nebo o svého </w:t>
      </w:r>
      <w:r w:rsidRPr="0063759E">
        <w:rPr>
          <w:rFonts w:eastAsia="Calibri"/>
          <w:i/>
          <w:iCs/>
          <w:szCs w:val="22"/>
          <w:lang w:eastAsia="en-US"/>
        </w:rPr>
        <w:lastRenderedPageBreak/>
        <w:t>závislého rodiče či o závislého rodiče zemřelého manžela nebo jste s tímto rodičem přestali žít v domácnosti,</w:t>
      </w:r>
    </w:p>
    <w:p w:rsidR="0063759E" w:rsidRPr="0063759E" w:rsidRDefault="0063759E" w:rsidP="0063759E">
      <w:pPr>
        <w:numPr>
          <w:ilvl w:val="0"/>
          <w:numId w:val="16"/>
        </w:numPr>
        <w:spacing w:before="40" w:after="40" w:line="252" w:lineRule="auto"/>
        <w:ind w:left="284" w:hanging="284"/>
        <w:rPr>
          <w:rFonts w:eastAsia="Calibri"/>
          <w:i/>
          <w:iCs/>
          <w:szCs w:val="22"/>
          <w:lang w:eastAsia="en-US"/>
        </w:rPr>
      </w:pPr>
      <w:r w:rsidRPr="0063759E">
        <w:rPr>
          <w:rFonts w:eastAsia="Calibri"/>
          <w:i/>
          <w:iCs/>
          <w:szCs w:val="22"/>
          <w:lang w:eastAsia="en-US"/>
        </w:rPr>
        <w:t>máte tzv. předčasný důchod, musíte nahlásit, když před dosažením důchodového věku začnete vydělávat v rozsahu zakládajícím účast na důchodovém pojištění.</w:t>
      </w:r>
    </w:p>
    <w:p w:rsidR="0063759E" w:rsidRPr="0063759E" w:rsidRDefault="0063759E" w:rsidP="0063759E">
      <w:pPr>
        <w:spacing w:before="120" w:after="120" w:line="252" w:lineRule="auto"/>
      </w:pPr>
      <w:r w:rsidRPr="0063759E">
        <w:t xml:space="preserve">Pokud nesplníte ohlašovací povinnost a my kvůli tomu vyplatíme důchod neoprávněně nebo ve vyšší částce, musíte nám </w:t>
      </w:r>
      <w:r w:rsidRPr="0063759E">
        <w:rPr>
          <w:b/>
          <w:bCs/>
        </w:rPr>
        <w:t>neprávem vyplacenou částku vrátit</w:t>
      </w:r>
      <w:r w:rsidRPr="0063759E">
        <w:t>.</w:t>
      </w:r>
    </w:p>
    <w:p w:rsidR="0063759E" w:rsidRPr="0063759E" w:rsidRDefault="0063759E" w:rsidP="0063759E">
      <w:pPr>
        <w:spacing w:before="120" w:after="60" w:line="252" w:lineRule="auto"/>
      </w:pPr>
      <w:r w:rsidRPr="0063759E">
        <w:t xml:space="preserve">V podáních, která nám posíláte, ať prosím </w:t>
      </w:r>
      <w:r w:rsidRPr="0063759E">
        <w:rPr>
          <w:b/>
          <w:bCs/>
        </w:rPr>
        <w:t>oprávněný uvede</w:t>
      </w:r>
    </w:p>
    <w:p w:rsidR="0063759E" w:rsidRPr="0063759E" w:rsidRDefault="0063759E" w:rsidP="0063759E">
      <w:pPr>
        <w:numPr>
          <w:ilvl w:val="0"/>
          <w:numId w:val="16"/>
        </w:numPr>
        <w:spacing w:before="40" w:after="40" w:line="252" w:lineRule="auto"/>
        <w:ind w:left="284" w:hanging="284"/>
        <w:rPr>
          <w:rFonts w:eastAsia="Calibri"/>
          <w:szCs w:val="22"/>
          <w:lang w:eastAsia="en-US"/>
        </w:rPr>
      </w:pPr>
      <w:r w:rsidRPr="0063759E">
        <w:rPr>
          <w:rFonts w:eastAsia="Calibri"/>
          <w:b/>
          <w:bCs/>
          <w:szCs w:val="22"/>
          <w:lang w:eastAsia="en-US"/>
        </w:rPr>
        <w:t>své rodné číslo</w:t>
      </w:r>
      <w:r w:rsidRPr="0063759E">
        <w:rPr>
          <w:rFonts w:eastAsia="Calibri"/>
          <w:szCs w:val="22"/>
          <w:lang w:eastAsia="en-US"/>
        </w:rPr>
        <w:t>,</w:t>
      </w:r>
    </w:p>
    <w:p w:rsidR="0063759E" w:rsidRPr="0063759E" w:rsidRDefault="0063759E" w:rsidP="0063759E">
      <w:pPr>
        <w:numPr>
          <w:ilvl w:val="0"/>
          <w:numId w:val="16"/>
        </w:numPr>
        <w:spacing w:before="40" w:after="40" w:line="252" w:lineRule="auto"/>
        <w:ind w:left="284" w:hanging="284"/>
        <w:rPr>
          <w:rFonts w:eastAsia="Calibri"/>
          <w:szCs w:val="22"/>
          <w:lang w:eastAsia="en-US"/>
        </w:rPr>
      </w:pPr>
      <w:r w:rsidRPr="0063759E">
        <w:rPr>
          <w:rFonts w:eastAsia="Calibri"/>
          <w:szCs w:val="22"/>
          <w:lang w:eastAsia="en-US"/>
        </w:rPr>
        <w:t>rodné číslo žijícího rodiče, pokud jde o sirotčí důchod jednostranně osiřelého dítěte, nebo</w:t>
      </w:r>
    </w:p>
    <w:p w:rsidR="0063759E" w:rsidRPr="0063759E" w:rsidRDefault="0063759E" w:rsidP="0063759E">
      <w:pPr>
        <w:numPr>
          <w:ilvl w:val="0"/>
          <w:numId w:val="16"/>
        </w:numPr>
        <w:spacing w:before="40" w:after="20" w:line="252" w:lineRule="auto"/>
        <w:ind w:left="284" w:hanging="284"/>
        <w:rPr>
          <w:rFonts w:eastAsia="Calibri"/>
          <w:szCs w:val="22"/>
          <w:lang w:eastAsia="en-US"/>
        </w:rPr>
      </w:pPr>
      <w:r w:rsidRPr="0063759E">
        <w:rPr>
          <w:rFonts w:eastAsia="Calibri"/>
          <w:szCs w:val="22"/>
          <w:lang w:eastAsia="en-US"/>
        </w:rPr>
        <w:t>rodné číslo posledně zemřelého rodiče, pokud jde o sirotčí důchod oboustranně osiřelého dítěte.</w:t>
      </w:r>
    </w:p>
    <w:p w:rsidR="0063759E" w:rsidRPr="0063759E" w:rsidRDefault="0063759E" w:rsidP="0063759E">
      <w:pPr>
        <w:spacing w:before="120" w:after="120" w:line="252" w:lineRule="auto"/>
        <w:rPr>
          <w:b/>
          <w:bCs/>
        </w:rPr>
      </w:pPr>
      <w:r w:rsidRPr="0063759E">
        <w:rPr>
          <w:b/>
          <w:bCs/>
        </w:rPr>
        <w:t>Zákonný zástupce, opatrovník a zvláštní příjemce v podáních</w:t>
      </w:r>
      <w:r w:rsidRPr="0063759E">
        <w:t xml:space="preserve"> prosím</w:t>
      </w:r>
      <w:r w:rsidRPr="0063759E">
        <w:rPr>
          <w:b/>
          <w:bCs/>
        </w:rPr>
        <w:t xml:space="preserve"> uvedou rodné číslo, které by uváděl oprávněný, jehož zastupují.</w:t>
      </w:r>
    </w:p>
    <w:p w:rsidR="00510859" w:rsidRPr="00FB60C5" w:rsidRDefault="00510859" w:rsidP="0063759E"/>
    <w:sectPr w:rsidR="00510859" w:rsidRPr="00FB60C5" w:rsidSect="00FE03E5">
      <w:headerReference w:type="default" r:id="rId21"/>
      <w:footerReference w:type="default" r:id="rId22"/>
      <w:headerReference w:type="first" r:id="rId23"/>
      <w:pgSz w:w="11906" w:h="16838"/>
      <w:pgMar w:top="907" w:right="1418" w:bottom="907"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6A" w:rsidRDefault="00BF116A">
      <w:r>
        <w:separator/>
      </w:r>
    </w:p>
  </w:endnote>
  <w:endnote w:type="continuationSeparator" w:id="0">
    <w:p w:rsidR="00BF116A" w:rsidRDefault="00B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3" w:rsidRDefault="001D4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3" w:rsidRDefault="001D47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3" w:rsidRDefault="001D47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1D4733" w:rsidRDefault="00C62ED8" w:rsidP="001D4733">
    <w:pPr>
      <w:pStyle w:val="Zpa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6A" w:rsidRDefault="00BF116A">
      <w:r>
        <w:separator/>
      </w:r>
    </w:p>
  </w:footnote>
  <w:footnote w:type="continuationSeparator" w:id="0">
    <w:p w:rsidR="00BF116A" w:rsidRDefault="00BF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3" w:rsidRDefault="001D4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E3" w:rsidRDefault="00AF49E3" w:rsidP="00AF49E3">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p w:rsidR="00FE03E5" w:rsidRDefault="00FE03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EB" w:rsidRDefault="003A2BEB" w:rsidP="003A2BEB">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p w:rsidR="003A2BEB" w:rsidRDefault="003A2BEB" w:rsidP="003A2BE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E3" w:rsidRDefault="00AF49E3">
    <w:pPr>
      <w:pStyle w:val="Zhlav"/>
    </w:pPr>
    <w:r>
      <w:t xml:space="preserve">přepsaný </w:t>
    </w:r>
    <w:r>
      <w:rPr>
        <w:rFonts w:cs="Calibri"/>
      </w:rPr>
      <w:t>│</w:t>
    </w:r>
    <w:r>
      <w:t xml:space="preserve"> </w:t>
    </w:r>
    <w:r>
      <w:t xml:space="preserve">přepsaný </w:t>
    </w:r>
    <w:r>
      <w:rPr>
        <w:rFonts w:cs="Calibri"/>
      </w:rPr>
      <w:t>│</w:t>
    </w:r>
    <w:r>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přepsaný</w:t>
    </w:r>
  </w:p>
  <w:p w:rsidR="00AF49E3" w:rsidRDefault="00AF49E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E5" w:rsidRDefault="00FE03E5" w:rsidP="003A2BEB">
    <w:pPr>
      <w:pStyle w:val="Zhlav"/>
    </w:pPr>
    <w:r>
      <w:t xml:space="preserve">přepsaný </w:t>
    </w:r>
    <w:r>
      <w:rPr>
        <w:rFonts w:cs="Calibri"/>
      </w:rPr>
      <w:t>│</w:t>
    </w:r>
    <w:r>
      <w:t xml:space="preserve"> </w:t>
    </w:r>
    <w:r>
      <w:t xml:space="preserve">přepsaný </w:t>
    </w:r>
    <w:r>
      <w:rPr>
        <w:rFonts w:cs="Calibri"/>
      </w:rPr>
      <w:t>│</w:t>
    </w:r>
    <w:r>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přepsaný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35F0F"/>
    <w:multiLevelType w:val="hybridMultilevel"/>
    <w:tmpl w:val="09B6E666"/>
    <w:lvl w:ilvl="0" w:tplc="AF248D42">
      <w:start w:val="1"/>
      <w:numFmt w:val="bullet"/>
      <w:lvlText w:val=""/>
      <w:lvlJc w:val="left"/>
      <w:pPr>
        <w:ind w:left="567" w:hanging="56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4"/>
  </w:num>
  <w:num w:numId="7">
    <w:abstractNumId w:val="9"/>
  </w:num>
  <w:num w:numId="8">
    <w:abstractNumId w:val="7"/>
  </w:num>
  <w:num w:numId="9">
    <w:abstractNumId w:val="6"/>
  </w:num>
  <w:num w:numId="10">
    <w:abstractNumId w:val="5"/>
  </w:num>
  <w:num w:numId="11">
    <w:abstractNumId w:val="4"/>
  </w:num>
  <w:num w:numId="12">
    <w:abstractNumId w:val="28"/>
  </w:num>
  <w:num w:numId="13">
    <w:abstractNumId w:val="13"/>
  </w:num>
  <w:num w:numId="14">
    <w:abstractNumId w:val="11"/>
  </w:num>
  <w:num w:numId="15">
    <w:abstractNumId w:val="22"/>
  </w:num>
  <w:num w:numId="16">
    <w:abstractNumId w:val="15"/>
  </w:num>
  <w:num w:numId="17">
    <w:abstractNumId w:val="29"/>
  </w:num>
  <w:num w:numId="18">
    <w:abstractNumId w:val="14"/>
  </w:num>
  <w:num w:numId="19">
    <w:abstractNumId w:val="26"/>
  </w:num>
  <w:num w:numId="20">
    <w:abstractNumId w:val="23"/>
  </w:num>
  <w:num w:numId="21">
    <w:abstractNumId w:val="20"/>
  </w:num>
  <w:num w:numId="22">
    <w:abstractNumId w:val="10"/>
  </w:num>
  <w:num w:numId="23">
    <w:abstractNumId w:val="21"/>
  </w:num>
  <w:num w:numId="24">
    <w:abstractNumId w:val="27"/>
  </w:num>
  <w:num w:numId="25">
    <w:abstractNumId w:val="17"/>
  </w:num>
  <w:num w:numId="26">
    <w:abstractNumId w:val="12"/>
  </w:num>
  <w:num w:numId="27">
    <w:abstractNumId w:val="18"/>
  </w:num>
  <w:num w:numId="28">
    <w:abstractNumId w:val="16"/>
  </w:num>
  <w:num w:numId="29">
    <w:abstractNumId w:val="25"/>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3481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6A"/>
    <w:rsid w:val="00003F61"/>
    <w:rsid w:val="00004FB4"/>
    <w:rsid w:val="00005478"/>
    <w:rsid w:val="00005D26"/>
    <w:rsid w:val="00011E14"/>
    <w:rsid w:val="00014C0A"/>
    <w:rsid w:val="00023C4B"/>
    <w:rsid w:val="00035D4C"/>
    <w:rsid w:val="0004162B"/>
    <w:rsid w:val="0005037C"/>
    <w:rsid w:val="000603EA"/>
    <w:rsid w:val="000649CB"/>
    <w:rsid w:val="00064D4B"/>
    <w:rsid w:val="000670B9"/>
    <w:rsid w:val="00070E77"/>
    <w:rsid w:val="000759C8"/>
    <w:rsid w:val="00075C60"/>
    <w:rsid w:val="0008195A"/>
    <w:rsid w:val="000848A7"/>
    <w:rsid w:val="00087D77"/>
    <w:rsid w:val="000915A0"/>
    <w:rsid w:val="00095D5B"/>
    <w:rsid w:val="000978FF"/>
    <w:rsid w:val="000A089E"/>
    <w:rsid w:val="000A54AE"/>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E7D46"/>
    <w:rsid w:val="000F1168"/>
    <w:rsid w:val="000F41CE"/>
    <w:rsid w:val="000F4494"/>
    <w:rsid w:val="000F54D2"/>
    <w:rsid w:val="001002AD"/>
    <w:rsid w:val="00101183"/>
    <w:rsid w:val="00102A71"/>
    <w:rsid w:val="0011391B"/>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4C48"/>
    <w:rsid w:val="00164F95"/>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4733"/>
    <w:rsid w:val="001D4B0A"/>
    <w:rsid w:val="001D7D52"/>
    <w:rsid w:val="001F1106"/>
    <w:rsid w:val="001F54BA"/>
    <w:rsid w:val="00200F24"/>
    <w:rsid w:val="00201AC2"/>
    <w:rsid w:val="00202E32"/>
    <w:rsid w:val="00204420"/>
    <w:rsid w:val="0020469E"/>
    <w:rsid w:val="002057F3"/>
    <w:rsid w:val="0021070D"/>
    <w:rsid w:val="002117C4"/>
    <w:rsid w:val="00212BAE"/>
    <w:rsid w:val="00214429"/>
    <w:rsid w:val="0022275E"/>
    <w:rsid w:val="00224362"/>
    <w:rsid w:val="00240D13"/>
    <w:rsid w:val="00245B80"/>
    <w:rsid w:val="00247188"/>
    <w:rsid w:val="002557E2"/>
    <w:rsid w:val="002563E2"/>
    <w:rsid w:val="00261454"/>
    <w:rsid w:val="00264D44"/>
    <w:rsid w:val="00266C7F"/>
    <w:rsid w:val="00272D2B"/>
    <w:rsid w:val="0027365B"/>
    <w:rsid w:val="00283038"/>
    <w:rsid w:val="00286337"/>
    <w:rsid w:val="00286D6B"/>
    <w:rsid w:val="002A2A50"/>
    <w:rsid w:val="002A33DD"/>
    <w:rsid w:val="002A45A3"/>
    <w:rsid w:val="002A594E"/>
    <w:rsid w:val="002A6827"/>
    <w:rsid w:val="002B216F"/>
    <w:rsid w:val="002B3267"/>
    <w:rsid w:val="002B6B3A"/>
    <w:rsid w:val="002C3DC9"/>
    <w:rsid w:val="002D0B74"/>
    <w:rsid w:val="002D4405"/>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A7C"/>
    <w:rsid w:val="00335F44"/>
    <w:rsid w:val="00340508"/>
    <w:rsid w:val="00343A40"/>
    <w:rsid w:val="00345419"/>
    <w:rsid w:val="00351387"/>
    <w:rsid w:val="0035331E"/>
    <w:rsid w:val="0036167B"/>
    <w:rsid w:val="00366FB4"/>
    <w:rsid w:val="00367394"/>
    <w:rsid w:val="00367C45"/>
    <w:rsid w:val="00370C07"/>
    <w:rsid w:val="00371893"/>
    <w:rsid w:val="00372812"/>
    <w:rsid w:val="00383ED2"/>
    <w:rsid w:val="003847E2"/>
    <w:rsid w:val="00387988"/>
    <w:rsid w:val="00390EC2"/>
    <w:rsid w:val="00392201"/>
    <w:rsid w:val="003943FA"/>
    <w:rsid w:val="0039549F"/>
    <w:rsid w:val="003A092D"/>
    <w:rsid w:val="003A0CB6"/>
    <w:rsid w:val="003A2BEB"/>
    <w:rsid w:val="003A735F"/>
    <w:rsid w:val="003B2A63"/>
    <w:rsid w:val="003B48BF"/>
    <w:rsid w:val="003B58E1"/>
    <w:rsid w:val="003B779D"/>
    <w:rsid w:val="003C4C2B"/>
    <w:rsid w:val="003C6D68"/>
    <w:rsid w:val="003C7F6B"/>
    <w:rsid w:val="003D4835"/>
    <w:rsid w:val="003D4A24"/>
    <w:rsid w:val="003D5E0D"/>
    <w:rsid w:val="003E012F"/>
    <w:rsid w:val="003E23D9"/>
    <w:rsid w:val="003E2756"/>
    <w:rsid w:val="003F0780"/>
    <w:rsid w:val="003F2EA6"/>
    <w:rsid w:val="00400CC6"/>
    <w:rsid w:val="004058B1"/>
    <w:rsid w:val="004070AA"/>
    <w:rsid w:val="00424E13"/>
    <w:rsid w:val="00430552"/>
    <w:rsid w:val="0043537F"/>
    <w:rsid w:val="00441328"/>
    <w:rsid w:val="0044414E"/>
    <w:rsid w:val="0044495B"/>
    <w:rsid w:val="00446630"/>
    <w:rsid w:val="00447E5A"/>
    <w:rsid w:val="0045106B"/>
    <w:rsid w:val="004528F5"/>
    <w:rsid w:val="00454540"/>
    <w:rsid w:val="00454E4C"/>
    <w:rsid w:val="0045521A"/>
    <w:rsid w:val="00462488"/>
    <w:rsid w:val="004702B8"/>
    <w:rsid w:val="0047290D"/>
    <w:rsid w:val="0047468C"/>
    <w:rsid w:val="00474FD0"/>
    <w:rsid w:val="004753F3"/>
    <w:rsid w:val="0047618F"/>
    <w:rsid w:val="004761EB"/>
    <w:rsid w:val="004772E6"/>
    <w:rsid w:val="00480D18"/>
    <w:rsid w:val="00481147"/>
    <w:rsid w:val="00481580"/>
    <w:rsid w:val="004862DD"/>
    <w:rsid w:val="00490B76"/>
    <w:rsid w:val="00493CC3"/>
    <w:rsid w:val="00493D68"/>
    <w:rsid w:val="00496579"/>
    <w:rsid w:val="00496D6A"/>
    <w:rsid w:val="004A16E0"/>
    <w:rsid w:val="004A238A"/>
    <w:rsid w:val="004A6DF8"/>
    <w:rsid w:val="004B5403"/>
    <w:rsid w:val="004B660B"/>
    <w:rsid w:val="004B70F6"/>
    <w:rsid w:val="004B7C1C"/>
    <w:rsid w:val="004C2350"/>
    <w:rsid w:val="004C36E4"/>
    <w:rsid w:val="004C5CB4"/>
    <w:rsid w:val="004D0B18"/>
    <w:rsid w:val="004D301A"/>
    <w:rsid w:val="004D5E84"/>
    <w:rsid w:val="004D7FA4"/>
    <w:rsid w:val="004E019B"/>
    <w:rsid w:val="004E119C"/>
    <w:rsid w:val="004E1845"/>
    <w:rsid w:val="004E60EC"/>
    <w:rsid w:val="004F0794"/>
    <w:rsid w:val="004F1866"/>
    <w:rsid w:val="0050074C"/>
    <w:rsid w:val="005020BF"/>
    <w:rsid w:val="00504EA3"/>
    <w:rsid w:val="00504F1E"/>
    <w:rsid w:val="00510859"/>
    <w:rsid w:val="00510D43"/>
    <w:rsid w:val="00513D4A"/>
    <w:rsid w:val="0051470E"/>
    <w:rsid w:val="00515748"/>
    <w:rsid w:val="005218EE"/>
    <w:rsid w:val="005232FF"/>
    <w:rsid w:val="0052507B"/>
    <w:rsid w:val="0052641E"/>
    <w:rsid w:val="005266ED"/>
    <w:rsid w:val="0053018E"/>
    <w:rsid w:val="00532395"/>
    <w:rsid w:val="00535921"/>
    <w:rsid w:val="00545EB4"/>
    <w:rsid w:val="00546D6B"/>
    <w:rsid w:val="0056124E"/>
    <w:rsid w:val="00571410"/>
    <w:rsid w:val="0057606F"/>
    <w:rsid w:val="005761AD"/>
    <w:rsid w:val="005766A1"/>
    <w:rsid w:val="00586C9E"/>
    <w:rsid w:val="005903C3"/>
    <w:rsid w:val="00597376"/>
    <w:rsid w:val="005A6C64"/>
    <w:rsid w:val="005A6FFF"/>
    <w:rsid w:val="005A7ECD"/>
    <w:rsid w:val="005B5385"/>
    <w:rsid w:val="005B6E55"/>
    <w:rsid w:val="005C280C"/>
    <w:rsid w:val="005C4A6E"/>
    <w:rsid w:val="005D00A2"/>
    <w:rsid w:val="005D04B5"/>
    <w:rsid w:val="005D157A"/>
    <w:rsid w:val="005D3C5D"/>
    <w:rsid w:val="005D6F58"/>
    <w:rsid w:val="005E10BF"/>
    <w:rsid w:val="005E4D03"/>
    <w:rsid w:val="005F373A"/>
    <w:rsid w:val="005F49BC"/>
    <w:rsid w:val="00600291"/>
    <w:rsid w:val="006039A2"/>
    <w:rsid w:val="00606139"/>
    <w:rsid w:val="006121C8"/>
    <w:rsid w:val="00616645"/>
    <w:rsid w:val="00622AEF"/>
    <w:rsid w:val="00625D9D"/>
    <w:rsid w:val="0062635B"/>
    <w:rsid w:val="00632450"/>
    <w:rsid w:val="00633D53"/>
    <w:rsid w:val="0063759E"/>
    <w:rsid w:val="00647187"/>
    <w:rsid w:val="006473C6"/>
    <w:rsid w:val="006513E6"/>
    <w:rsid w:val="006534E8"/>
    <w:rsid w:val="00656A6F"/>
    <w:rsid w:val="00660DA6"/>
    <w:rsid w:val="0066482B"/>
    <w:rsid w:val="006672B8"/>
    <w:rsid w:val="0066781F"/>
    <w:rsid w:val="00681493"/>
    <w:rsid w:val="00685EC4"/>
    <w:rsid w:val="0069008E"/>
    <w:rsid w:val="00692C23"/>
    <w:rsid w:val="00695065"/>
    <w:rsid w:val="00696531"/>
    <w:rsid w:val="00696CB8"/>
    <w:rsid w:val="006A0B48"/>
    <w:rsid w:val="006A4EE9"/>
    <w:rsid w:val="006A78BC"/>
    <w:rsid w:val="006B2220"/>
    <w:rsid w:val="006C4257"/>
    <w:rsid w:val="006C6612"/>
    <w:rsid w:val="006D00EF"/>
    <w:rsid w:val="006E0E9A"/>
    <w:rsid w:val="006F180A"/>
    <w:rsid w:val="006F2BB8"/>
    <w:rsid w:val="006F6569"/>
    <w:rsid w:val="006F709B"/>
    <w:rsid w:val="007009E0"/>
    <w:rsid w:val="00700A4A"/>
    <w:rsid w:val="00703396"/>
    <w:rsid w:val="00704331"/>
    <w:rsid w:val="0070594F"/>
    <w:rsid w:val="00707962"/>
    <w:rsid w:val="007156EE"/>
    <w:rsid w:val="007170C4"/>
    <w:rsid w:val="00723CB4"/>
    <w:rsid w:val="00724F68"/>
    <w:rsid w:val="007252CC"/>
    <w:rsid w:val="00725C06"/>
    <w:rsid w:val="0073549B"/>
    <w:rsid w:val="00740815"/>
    <w:rsid w:val="0074172F"/>
    <w:rsid w:val="00753C2F"/>
    <w:rsid w:val="007545A9"/>
    <w:rsid w:val="007634EF"/>
    <w:rsid w:val="00766054"/>
    <w:rsid w:val="00774838"/>
    <w:rsid w:val="00781671"/>
    <w:rsid w:val="007824C5"/>
    <w:rsid w:val="0078584F"/>
    <w:rsid w:val="00790CC4"/>
    <w:rsid w:val="007911F8"/>
    <w:rsid w:val="007914FF"/>
    <w:rsid w:val="00795AA1"/>
    <w:rsid w:val="00797494"/>
    <w:rsid w:val="007A01EB"/>
    <w:rsid w:val="007B05C4"/>
    <w:rsid w:val="007B27C9"/>
    <w:rsid w:val="007B2D6E"/>
    <w:rsid w:val="007C43FE"/>
    <w:rsid w:val="007C53F6"/>
    <w:rsid w:val="007C5F18"/>
    <w:rsid w:val="007F4753"/>
    <w:rsid w:val="007F7048"/>
    <w:rsid w:val="007F7629"/>
    <w:rsid w:val="00800BD1"/>
    <w:rsid w:val="0080154D"/>
    <w:rsid w:val="00801CAC"/>
    <w:rsid w:val="008026BC"/>
    <w:rsid w:val="0080395F"/>
    <w:rsid w:val="00804CD9"/>
    <w:rsid w:val="00810780"/>
    <w:rsid w:val="0081518D"/>
    <w:rsid w:val="00820985"/>
    <w:rsid w:val="0082283E"/>
    <w:rsid w:val="008270D7"/>
    <w:rsid w:val="00831A46"/>
    <w:rsid w:val="00833D9B"/>
    <w:rsid w:val="00833E0E"/>
    <w:rsid w:val="00834953"/>
    <w:rsid w:val="008369A6"/>
    <w:rsid w:val="00837F06"/>
    <w:rsid w:val="00840811"/>
    <w:rsid w:val="00842CD9"/>
    <w:rsid w:val="00845135"/>
    <w:rsid w:val="00845A55"/>
    <w:rsid w:val="008517F5"/>
    <w:rsid w:val="00854927"/>
    <w:rsid w:val="00856F93"/>
    <w:rsid w:val="00867468"/>
    <w:rsid w:val="00870076"/>
    <w:rsid w:val="00872AC3"/>
    <w:rsid w:val="00880622"/>
    <w:rsid w:val="008842B3"/>
    <w:rsid w:val="0088703D"/>
    <w:rsid w:val="0089111A"/>
    <w:rsid w:val="00896EC0"/>
    <w:rsid w:val="00896F55"/>
    <w:rsid w:val="008A3F2F"/>
    <w:rsid w:val="008C416A"/>
    <w:rsid w:val="008C5946"/>
    <w:rsid w:val="008C5BE2"/>
    <w:rsid w:val="008D6C66"/>
    <w:rsid w:val="008F2A91"/>
    <w:rsid w:val="008F68AB"/>
    <w:rsid w:val="0090475C"/>
    <w:rsid w:val="009101E1"/>
    <w:rsid w:val="00912660"/>
    <w:rsid w:val="00912D35"/>
    <w:rsid w:val="0091688D"/>
    <w:rsid w:val="00923857"/>
    <w:rsid w:val="009245CE"/>
    <w:rsid w:val="00926A2A"/>
    <w:rsid w:val="009275CB"/>
    <w:rsid w:val="0093580C"/>
    <w:rsid w:val="00935DBA"/>
    <w:rsid w:val="009361DD"/>
    <w:rsid w:val="00941637"/>
    <w:rsid w:val="0094307C"/>
    <w:rsid w:val="009440DD"/>
    <w:rsid w:val="00944587"/>
    <w:rsid w:val="0094580D"/>
    <w:rsid w:val="00946E37"/>
    <w:rsid w:val="0095192E"/>
    <w:rsid w:val="009557D5"/>
    <w:rsid w:val="009570AC"/>
    <w:rsid w:val="00964042"/>
    <w:rsid w:val="00966891"/>
    <w:rsid w:val="00974220"/>
    <w:rsid w:val="00974CB7"/>
    <w:rsid w:val="00977682"/>
    <w:rsid w:val="0098129C"/>
    <w:rsid w:val="00983689"/>
    <w:rsid w:val="00985950"/>
    <w:rsid w:val="0099134E"/>
    <w:rsid w:val="00991B0D"/>
    <w:rsid w:val="009937EC"/>
    <w:rsid w:val="00996C61"/>
    <w:rsid w:val="0099732D"/>
    <w:rsid w:val="009A13D1"/>
    <w:rsid w:val="009A18F4"/>
    <w:rsid w:val="009A49E6"/>
    <w:rsid w:val="009A5697"/>
    <w:rsid w:val="009A6C00"/>
    <w:rsid w:val="009B1681"/>
    <w:rsid w:val="009B219A"/>
    <w:rsid w:val="009B6431"/>
    <w:rsid w:val="009B64BA"/>
    <w:rsid w:val="009C263B"/>
    <w:rsid w:val="009C7BD0"/>
    <w:rsid w:val="009D33D4"/>
    <w:rsid w:val="009E4664"/>
    <w:rsid w:val="009E6E93"/>
    <w:rsid w:val="009E711A"/>
    <w:rsid w:val="009E7D0E"/>
    <w:rsid w:val="009F1071"/>
    <w:rsid w:val="009F1E61"/>
    <w:rsid w:val="009F480D"/>
    <w:rsid w:val="009F5CFE"/>
    <w:rsid w:val="00A059C6"/>
    <w:rsid w:val="00A20166"/>
    <w:rsid w:val="00A22613"/>
    <w:rsid w:val="00A23FEF"/>
    <w:rsid w:val="00A24F7B"/>
    <w:rsid w:val="00A3314F"/>
    <w:rsid w:val="00A349A2"/>
    <w:rsid w:val="00A360CE"/>
    <w:rsid w:val="00A42921"/>
    <w:rsid w:val="00A46C10"/>
    <w:rsid w:val="00A509B6"/>
    <w:rsid w:val="00A63AB4"/>
    <w:rsid w:val="00A660E6"/>
    <w:rsid w:val="00A72E31"/>
    <w:rsid w:val="00A75FA7"/>
    <w:rsid w:val="00A76F12"/>
    <w:rsid w:val="00A77AE9"/>
    <w:rsid w:val="00A82F78"/>
    <w:rsid w:val="00A87286"/>
    <w:rsid w:val="00AA1C29"/>
    <w:rsid w:val="00AA72E4"/>
    <w:rsid w:val="00AA7663"/>
    <w:rsid w:val="00AB2418"/>
    <w:rsid w:val="00AC20AF"/>
    <w:rsid w:val="00AC4AF0"/>
    <w:rsid w:val="00AC50BE"/>
    <w:rsid w:val="00AD6139"/>
    <w:rsid w:val="00AE42B6"/>
    <w:rsid w:val="00AE61EB"/>
    <w:rsid w:val="00AF0554"/>
    <w:rsid w:val="00AF1327"/>
    <w:rsid w:val="00AF2D71"/>
    <w:rsid w:val="00AF49E3"/>
    <w:rsid w:val="00AF5C22"/>
    <w:rsid w:val="00AF6114"/>
    <w:rsid w:val="00AF7B5F"/>
    <w:rsid w:val="00B01A85"/>
    <w:rsid w:val="00B04238"/>
    <w:rsid w:val="00B049E0"/>
    <w:rsid w:val="00B04AAA"/>
    <w:rsid w:val="00B11419"/>
    <w:rsid w:val="00B16A0E"/>
    <w:rsid w:val="00B22467"/>
    <w:rsid w:val="00B256DB"/>
    <w:rsid w:val="00B267C1"/>
    <w:rsid w:val="00B35943"/>
    <w:rsid w:val="00B37C5C"/>
    <w:rsid w:val="00B425C4"/>
    <w:rsid w:val="00B429DB"/>
    <w:rsid w:val="00B446DA"/>
    <w:rsid w:val="00B44C17"/>
    <w:rsid w:val="00B4597A"/>
    <w:rsid w:val="00B45B80"/>
    <w:rsid w:val="00B46C93"/>
    <w:rsid w:val="00B47E20"/>
    <w:rsid w:val="00B50A5B"/>
    <w:rsid w:val="00B53AB3"/>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16A"/>
    <w:rsid w:val="00BF1A17"/>
    <w:rsid w:val="00BF3109"/>
    <w:rsid w:val="00BF41BB"/>
    <w:rsid w:val="00BF717A"/>
    <w:rsid w:val="00C02E31"/>
    <w:rsid w:val="00C06E09"/>
    <w:rsid w:val="00C114C5"/>
    <w:rsid w:val="00C11F1F"/>
    <w:rsid w:val="00C16284"/>
    <w:rsid w:val="00C227F6"/>
    <w:rsid w:val="00C33EAC"/>
    <w:rsid w:val="00C36558"/>
    <w:rsid w:val="00C4538A"/>
    <w:rsid w:val="00C6073D"/>
    <w:rsid w:val="00C61F35"/>
    <w:rsid w:val="00C6260F"/>
    <w:rsid w:val="00C62ED8"/>
    <w:rsid w:val="00C65716"/>
    <w:rsid w:val="00C66DEE"/>
    <w:rsid w:val="00C90490"/>
    <w:rsid w:val="00C9480F"/>
    <w:rsid w:val="00C979B0"/>
    <w:rsid w:val="00C97E93"/>
    <w:rsid w:val="00CA31B8"/>
    <w:rsid w:val="00CA51A0"/>
    <w:rsid w:val="00CA5DE5"/>
    <w:rsid w:val="00CA7B6D"/>
    <w:rsid w:val="00CB221B"/>
    <w:rsid w:val="00CB2ED9"/>
    <w:rsid w:val="00CB4426"/>
    <w:rsid w:val="00CB6573"/>
    <w:rsid w:val="00CB6715"/>
    <w:rsid w:val="00CB6A67"/>
    <w:rsid w:val="00CC2272"/>
    <w:rsid w:val="00CC23F4"/>
    <w:rsid w:val="00CC599E"/>
    <w:rsid w:val="00CC731A"/>
    <w:rsid w:val="00CD01B1"/>
    <w:rsid w:val="00CD0B58"/>
    <w:rsid w:val="00CD3276"/>
    <w:rsid w:val="00CE3DA2"/>
    <w:rsid w:val="00CE48E6"/>
    <w:rsid w:val="00CE734B"/>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6255"/>
    <w:rsid w:val="00D71D0F"/>
    <w:rsid w:val="00D7226A"/>
    <w:rsid w:val="00D7508C"/>
    <w:rsid w:val="00D76EBF"/>
    <w:rsid w:val="00D81B72"/>
    <w:rsid w:val="00D861C0"/>
    <w:rsid w:val="00D87FA6"/>
    <w:rsid w:val="00DA4DA9"/>
    <w:rsid w:val="00DA699A"/>
    <w:rsid w:val="00DA6AB4"/>
    <w:rsid w:val="00DB081A"/>
    <w:rsid w:val="00DB27F5"/>
    <w:rsid w:val="00DC34FF"/>
    <w:rsid w:val="00DC3A9E"/>
    <w:rsid w:val="00DC5D9E"/>
    <w:rsid w:val="00DC7425"/>
    <w:rsid w:val="00DC7641"/>
    <w:rsid w:val="00DD0A1A"/>
    <w:rsid w:val="00DD7BC0"/>
    <w:rsid w:val="00DE03DB"/>
    <w:rsid w:val="00DE294E"/>
    <w:rsid w:val="00DE3CEF"/>
    <w:rsid w:val="00DE3F2B"/>
    <w:rsid w:val="00DE739E"/>
    <w:rsid w:val="00DF0211"/>
    <w:rsid w:val="00DF04E2"/>
    <w:rsid w:val="00DF4D29"/>
    <w:rsid w:val="00E05B50"/>
    <w:rsid w:val="00E07AE9"/>
    <w:rsid w:val="00E130CA"/>
    <w:rsid w:val="00E13C91"/>
    <w:rsid w:val="00E1404A"/>
    <w:rsid w:val="00E202F8"/>
    <w:rsid w:val="00E2285E"/>
    <w:rsid w:val="00E315B6"/>
    <w:rsid w:val="00E31832"/>
    <w:rsid w:val="00E323A7"/>
    <w:rsid w:val="00E33140"/>
    <w:rsid w:val="00E705A5"/>
    <w:rsid w:val="00E70F62"/>
    <w:rsid w:val="00E810A9"/>
    <w:rsid w:val="00E81120"/>
    <w:rsid w:val="00E83159"/>
    <w:rsid w:val="00E8351E"/>
    <w:rsid w:val="00E86653"/>
    <w:rsid w:val="00E87144"/>
    <w:rsid w:val="00E908D8"/>
    <w:rsid w:val="00E91720"/>
    <w:rsid w:val="00EA3623"/>
    <w:rsid w:val="00EA79AB"/>
    <w:rsid w:val="00EB2C0C"/>
    <w:rsid w:val="00EC1BEC"/>
    <w:rsid w:val="00EC5FF3"/>
    <w:rsid w:val="00EC6193"/>
    <w:rsid w:val="00ED0C31"/>
    <w:rsid w:val="00EE01AD"/>
    <w:rsid w:val="00EE17DD"/>
    <w:rsid w:val="00EE2FEA"/>
    <w:rsid w:val="00EE380C"/>
    <w:rsid w:val="00EE455E"/>
    <w:rsid w:val="00EF155A"/>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7735"/>
    <w:rsid w:val="00F966E5"/>
    <w:rsid w:val="00F9728F"/>
    <w:rsid w:val="00FA12E9"/>
    <w:rsid w:val="00FB0CA1"/>
    <w:rsid w:val="00FB60C5"/>
    <w:rsid w:val="00FB73B6"/>
    <w:rsid w:val="00FC2873"/>
    <w:rsid w:val="00FC3EB6"/>
    <w:rsid w:val="00FC7559"/>
    <w:rsid w:val="00FD5D45"/>
    <w:rsid w:val="00FE03E5"/>
    <w:rsid w:val="00FE2E65"/>
    <w:rsid w:val="00FE3390"/>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5073E652"/>
  <w15:docId w15:val="{FBE3CA58-8FEC-45D9-96B0-8E8789D8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7"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546D6B"/>
    <w:pPr>
      <w:keepNext/>
      <w:spacing w:before="200" w:after="200" w:line="252" w:lineRule="auto"/>
      <w:contextualSpacing/>
      <w:outlineLvl w:val="0"/>
    </w:pPr>
    <w:rPr>
      <w:b/>
      <w:sz w:val="26"/>
      <w:szCs w:val="26"/>
    </w:rPr>
  </w:style>
  <w:style w:type="paragraph" w:styleId="Nadpis2">
    <w:name w:val="heading 2"/>
    <w:basedOn w:val="Nadpis3"/>
    <w:next w:val="Zkladntext"/>
    <w:link w:val="Nadpis2Char"/>
    <w:uiPriority w:val="7"/>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6672B8"/>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15"/>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6672B8"/>
  </w:style>
  <w:style w:type="character" w:customStyle="1" w:styleId="TextpoznpodarouChar">
    <w:name w:val="Text pozn. pod čarou Char"/>
    <w:link w:val="Textpoznpodarou"/>
    <w:uiPriority w:val="16"/>
    <w:rsid w:val="006473C6"/>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546D6B"/>
    <w:rPr>
      <w:b/>
      <w:sz w:val="26"/>
      <w:szCs w:val="26"/>
    </w:rPr>
  </w:style>
  <w:style w:type="paragraph" w:styleId="Seznam">
    <w:name w:val="List"/>
    <w:basedOn w:val="Zkladntext"/>
    <w:uiPriority w:val="9"/>
    <w:qFormat/>
    <w:rsid w:val="00101183"/>
    <w:pPr>
      <w:numPr>
        <w:numId w:val="30"/>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qFormat/>
    <w:rsid w:val="00D10BA6"/>
    <w:pPr>
      <w:numPr>
        <w:numId w:val="18"/>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7"/>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39455530">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ssz.c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portal.cssz.cz/web/portal/tiskopi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sz.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ssz.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ikova\Desktop\&#353;ablony%202022\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2.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3.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4F19D-63F2-490D-B2B4-56DA8EDC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4</TotalTime>
  <Pages>3</Pages>
  <Words>1076</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7582</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Kubíková Barbora, Mgr.</dc:creator>
  <cp:lastModifiedBy>Kubíková Barbora, Mgr.</cp:lastModifiedBy>
  <cp:revision>5</cp:revision>
  <cp:lastPrinted>2016-05-16T06:53:00Z</cp:lastPrinted>
  <dcterms:created xsi:type="dcterms:W3CDTF">2022-08-24T09:53:00Z</dcterms:created>
  <dcterms:modified xsi:type="dcterms:W3CDTF">2022-08-24T09:58:00Z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